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8">
      <w:pPr>
        <w:spacing w:after="0" w:before="0" w:line="20" w:lineRule="auto"/>
        <w:rPr>
          <w:rFonts w:ascii="Helvetica Neue" w:cs="Helvetica Neue" w:eastAsia="Helvetica Neue" w:hAnsi="Helvetica Neue"/>
          <w:color w:val="000000"/>
        </w:rPr>
      </w:pPr>
      <w:r>
        <w:rPr>
          <w:rtl w:val="0"/>
        </w:rPr>
      </w:r>
    </w:p>
    <w:p w14:paraId="00000009">
      <w:pPr>
        <w:pStyle w:val="Title"/>
        <w:spacing w:line="240" w:lineRule="auto"/>
        <w:rPr>
          <w:rFonts w:ascii="Helvetica Neue Light" w:cs="Helvetica Neue Light" w:eastAsia="Helvetica Neue Light" w:hAnsi="Helvetica Neue Light"/>
          <w:b w:val="0"/>
          <w:bCs w:val="0"/>
          <w:color w:val="5b7085"/>
          <w:sz w:val="72"/>
          <w:szCs w:val="72"/>
        </w:rPr>
      </w:pPr>
      <w:r>
        <w:rPr>
          <w:rFonts w:ascii="Helvetica Neue Light" w:cs="Helvetica Neue Light" w:eastAsia="Microsoft YaHei" w:hAnsi="Helvetica Neue Light"/>
          <w:b w:val="0"/>
          <w:bCs w:val="0"/>
          <w:color w:val="5b7085"/>
          <w:sz w:val="72"/>
          <w:szCs w:val="72"/>
          <w:rtl w:val="0"/>
        </w:rPr>
        <w:t xml:space="preserve">Coin Madness</w:t>
      </w:r>
    </w:p>
    <w:p w14:paraId="0000000A">
      <w:pPr>
        <w:pStyle w:val="Title"/>
        <w:spacing w:line="240" w:lineRule="auto"/>
        <w:rPr>
          <w:rFonts w:ascii="Helvetica Neue" w:cs="Helvetica Neue" w:eastAsia="Helvetica Neue" w:hAnsi="Helvetica Neue"/>
          <w:sz w:val="72"/>
          <w:szCs w:val="72"/>
        </w:rPr>
      </w:pPr>
      <w:r>
        <w:rPr>
          <w:rFonts w:ascii="Helvetica Neue" w:cs="Helvetica Neue" w:eastAsia="Microsoft YaHei" w:hAnsi="Helvetica Neue"/>
          <w:sz w:val="72"/>
          <w:szCs w:val="72"/>
          <w:rtl w:val="0"/>
        </w:rPr>
        <w:t xml:space="preserve">活动策划确认单</w:t>
      </w:r>
    </w:p>
    <w:p w14:paraId="0000000B">
      <w:pPr>
        <w:rPr>
          <w:rFonts w:ascii="Helvetica Neue" w:cs="Helvetica Neue" w:eastAsia="Helvetica Neue" w:hAnsi="Helvetica Neue"/>
        </w:rPr>
      </w:pPr>
      <w:r>
        <w:rPr>
          <w:rtl w:val="0"/>
          <w:rFonts w:eastAsia="Microsoft YaHei"/>
          <w:sz w:val="22"/>
          <w:szCs w:val="22"/>
        </w:rPr>
        <w:t xml:space="preserve">请补齐活动时间、价格、任务与奖励配置，</w:t>
      </w:r>
      <w:r>
        <w:rPr>
          <w:rtl w:val="0"/>
          <w:rFonts w:eastAsia="Microsoft YaHei"/>
          <w:sz w:val="22"/>
          <w:szCs w:val="22"/>
        </w:rPr>
        <w:br/>
        <w:t xml:space="preserve">并明确计数、领取及边界规则，供开发与验收使用。</w:t>
      </w:r>
    </w:p>
    <w:p w14:paraId="00000011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12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13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14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tbl>
      <w:tblPr>
        <w:tblStyle w:val="Table1"/>
        <w:tblW w:w="10400.0" w:type="dxa"/>
        <w:jc w:val="center"/>
        <w:tblLayout w:type="fixed"/>
        <w:tblLook w:val="0600"/>
      </w:tblPr>
      <w:tblGrid>
        <w:gridCol w:w="3200"/>
        <w:gridCol w:w="400"/>
        <w:gridCol w:w="3200"/>
        <w:gridCol w:w="400"/>
        <w:gridCol w:w="3200"/>
        <w:tblGridChange w:id="0">
          <w:tblGrid>
            <w:gridCol w:w="3200"/>
            <w:gridCol w:w="400"/>
            <w:gridCol w:w="3200"/>
            <w:gridCol w:w="400"/>
            <w:gridCol w:w="3200"/>
          </w:tblGrid>
        </w:tblGridChange>
      </w:tblGrid>
      <w:tr>
        <w:trPr>
          <w:cantSplit w:val="0"/>
          <w:tblHeader w:val="0"/>
        </w:trPr>
        <w:tc>
          <w:tcPr/>
          <w:p w14:paraId="00000015">
            <w:pPr>
              <w:pStyle w:val="Heading3"/>
              <w:rPr/>
            </w:pPr>
            <w:r>
              <w:rPr>
                <w:rtl w:val="0"/>
                <w:rFonts w:eastAsia="Microsoft YaHei"/>
                <w:sz w:val="18"/>
                <w:szCs w:val="18"/>
              </w:rPr>
              <w:t xml:space="preserve">文档状态</w:t>
            </w:r>
          </w:p>
          <w:p w14:paraId="00000016">
            <w:pPr>
              <w:spacing w:after="110" w:line="300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0"/>
                <w:szCs w:val="20"/>
              </w:rPr>
              <w:t xml:space="preserve">核心规则已确认</w:t>
            </w:r>
          </w:p>
        </w:tc>
        <w:tc>
          <w:tcPr/>
          <w:p w14:paraId="00000017">
            <w:pPr>
              <w:rPr>
                <w:rFonts w:ascii="Helvetica Neue" w:cs="Helvetica Neue" w:eastAsia="Helvetica Neue" w:hAnsi="Helvetica Neue"/>
              </w:rPr>
            </w:pPr>
            <w:r>
              <w:rPr>
                <w:rtl w:val="0"/>
              </w:rPr>
            </w:r>
          </w:p>
        </w:tc>
        <w:tc>
          <w:tcPr/>
          <w:p w14:paraId="00000018">
            <w:pPr>
              <w:pStyle w:val="Heading3"/>
              <w:rPr/>
            </w:pPr>
            <w:r>
              <w:rPr>
                <w:rtl w:val="0"/>
                <w:rFonts w:eastAsia="Microsoft YaHei"/>
                <w:sz w:val="18"/>
                <w:szCs w:val="18"/>
              </w:rPr>
              <w:t xml:space="preserve">文档版本</w:t>
            </w:r>
          </w:p>
          <w:p w14:paraId="00000019">
            <w:pPr>
              <w:spacing w:after="110" w:line="300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0"/>
                <w:szCs w:val="20"/>
              </w:rPr>
              <w:t xml:space="preserve">V1.2</w:t>
            </w:r>
          </w:p>
        </w:tc>
        <w:tc>
          <w:tcPr/>
          <w:p w14:paraId="0000001A">
            <w:pPr>
              <w:rPr>
                <w:rFonts w:ascii="Helvetica Neue" w:cs="Helvetica Neue" w:eastAsia="Helvetica Neue" w:hAnsi="Helvetica Neue"/>
              </w:rPr>
            </w:pPr>
            <w:r>
              <w:rPr>
                <w:rtl w:val="0"/>
              </w:rPr>
            </w:r>
          </w:p>
        </w:tc>
        <w:tc>
          <w:tcPr/>
          <w:p w14:paraId="0000001B">
            <w:pPr>
              <w:pStyle w:val="Heading3"/>
              <w:rPr/>
            </w:pPr>
            <w:r>
              <w:rPr>
                <w:rtl w:val="0"/>
                <w:rFonts w:eastAsia="Microsoft YaHei"/>
                <w:sz w:val="18"/>
                <w:szCs w:val="18"/>
              </w:rPr>
              <w:t xml:space="preserve">更新日期</w:t>
            </w:r>
          </w:p>
          <w:p w14:paraId="0000001C">
            <w:pPr>
              <w:spacing w:after="110" w:line="300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Microsoft YaHei" w:hAnsi="Helvetica Neue"/>
                <w:rtl w:val="0"/>
                <w:sz w:val="20"/>
                <w:szCs w:val="20"/>
              </w:rPr>
              <w:t xml:space="preserve">2026年9月15日</w:t>
            </w:r>
          </w:p>
        </w:tc>
      </w:tr>
    </w:tbl>
    <w:p w14:paraId="0000001D">
      <w:pPr>
        <w:spacing w:after="110" w:line="300" w:lineRule="auto"/>
        <w:rPr>
          <w:rFonts w:ascii="Helvetica Neue" w:cs="Helvetica Neue" w:eastAsia="Helvetica Neue" w:hAnsi="Helvetica Neue"/>
        </w:rPr>
      </w:pPr>
      <w:r>
        <w:rPr>
          <w:rtl w:val="0"/>
        </w:rPr>
      </w:r>
    </w:p>
    <w:tbl>
      <w:tblPr>
        <w:tblStyle w:val="Table2"/>
        <w:tblW w:w="10155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1815"/>
        <w:gridCol w:w="8340"/>
        <w:tblGridChange w:id="0">
          <w:tblGrid>
            <w:gridCol w:w="1815"/>
            <w:gridCol w:w="8340"/>
          </w:tblGrid>
        </w:tblGridChange>
      </w:tblGrid>
      <w:tr>
        <w:trPr>
          <w:cantSplit w:val="1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1E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Microsoft YaHei" w:hAnsi="Helvetica Neue"/>
                <w:b w:val="1"/>
                <w:bCs w:val="1"/>
                <w:color w:val="000000"/>
                <w:rtl w:val="0"/>
                <w:sz w:val="21"/>
                <w:szCs w:val="21"/>
              </w:rPr>
              <w:t xml:space="preserve">使用对象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1F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活动策划及研发团队</w:t>
            </w:r>
          </w:p>
        </w:tc>
      </w:tr>
      <w:tr>
        <w:trPr>
          <w:cantSplit w:val="1"/>
          <w:trHeight w:val="404.3103027343749" w:hRule="atLeast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0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Microsoft YaHei" w:hAnsi="Helvetica Neue"/>
                <w:b w:val="1"/>
                <w:bCs w:val="1"/>
                <w:color w:val="000000"/>
                <w:rtl w:val="0"/>
                <w:sz w:val="21"/>
                <w:szCs w:val="21"/>
              </w:rPr>
              <w:t xml:space="preserve">活动目标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1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兼顾首充转化、已付费玩家复购与持续闯关</w:t>
            </w:r>
          </w:p>
        </w:tc>
      </w:tr>
      <w:tr>
        <w:trPr>
          <w:cantSplit w:val="1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2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Microsoft YaHei" w:hAnsi="Helvetica Neue"/>
                <w:b w:val="1"/>
                <w:bCs w:val="1"/>
                <w:color w:val="000000"/>
                <w:rtl w:val="0"/>
                <w:sz w:val="21"/>
                <w:szCs w:val="21"/>
              </w:rPr>
              <w:t xml:space="preserve">策划反馈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3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填写待定项及正式奖励表，补充边界规则</w:t>
            </w:r>
          </w:p>
        </w:tc>
      </w:tr>
      <w:tr>
        <w:trPr>
          <w:cantSplit w:val="1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4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Microsoft YaHei" w:hAnsi="Helvetica Neue"/>
                <w:b w:val="1"/>
                <w:bCs w:val="1"/>
                <w:color w:val="000000"/>
                <w:rtl w:val="0"/>
                <w:sz w:val="21"/>
                <w:szCs w:val="21"/>
              </w:rPr>
              <w:t xml:space="preserve">数值状态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5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效果图仅作参考，正式配置尚待策划填写</w:t>
            </w:r>
          </w:p>
        </w:tc>
      </w:tr>
    </w:tbl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</w:pPr>
      <w:r>
        <w:rPr>
          <w:rFonts w:ascii="Helvetica Neue" w:cs="Helvetica Neue" w:eastAsia="Microsoft YaHei" w:hAnsi="Helvetica Neue"/>
          <w:color w:val="082a4a"/>
          <w:rtl w:val="0"/>
        </w:rPr>
        <w:t xml:space="preserve">1 已确认的活动规则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 xml:space="preserve">Coin Madness 是限时付费解锁任务领奖活动。首版沿用当前游戏的支付渠道和金币体系，兼顾首充、复购与持续闯关。以下规则已经确认，策划填表时请保持一致。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1"/>
        </w:rPr>
        <w:t xml:space="preserve">参与与购买：</w:t>
      </w: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>符合开放条件的未付费玩家和已付费玩家使用同一套活动。每个账号每期最多购买一次；购买没有不同档位。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1"/>
        </w:rPr>
        <w:t xml:space="preserve">解锁权益：</w:t>
      </w: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>一次购买解锁本期全部阶梯任务的领奖资格。奖励仍需达到对应任务条件后领取，不是购买后直接发放整期奖励。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1"/>
        </w:rPr>
        <w:t xml:space="preserve">任务与奖励：</w:t>
      </w: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>购买确认后才开始记录有效通关，付费前的通关不计入。阶梯任务逐段独立完成，进入下一段时从 0 计数；阶段推进时机见 B2。奖励为阶梯金币，无额外购买赠送。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1"/>
        </w:rPr>
        <w:t xml:space="preserve">统一截止：</w:t>
      </w: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>同一期全体玩家在同一时间结束。晚进入、购买、关闭弹窗或重新登录均不改变本期统一截止时间。到期停止购买和新增任务进度。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1"/>
        </w:rPr>
        <w:t xml:space="preserve">期次边界：</w:t>
      </w: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>每期购买权益仅对应本期。是否复开、具体排期与跨期进度处理由策划填写，不因同一期已完成而重新开放购买。</w:t>
      </w:r>
    </w:p>
    <w:p w14:paraId="0000003E">
      <w:pPr>
        <w:pStyle w:val="Heading3"/>
        <w:spacing w:after="90" w:line="280" w:lineRule="auto"/>
        <w:rPr/>
      </w:pPr>
      <w:r>
        <w:rPr>
          <w:rtl w:val="0"/>
          <w:rFonts w:eastAsia="Microsoft YaHei"/>
        </w:rPr>
        <w:t xml:space="preserve">活动结束后的处理</w:t>
      </w:r>
    </w:p>
    <w:tbl>
      <w:tblPr>
        <w:tblStyle w:val="Table5"/>
        <w:tblW w:w="10440" w:type="dxa"/>
        <w:jc w:val="center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00"/>
      </w:tblPr>
      <w:tblGrid>
        <w:gridCol w:w="3650"/>
        <w:gridCol w:w="6790"/>
      </w:tblGrid>
      <w:tr>
        <w:trPr>
          <w:cantSplit w:val="1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82a4a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3650" w:type="dxa"/>
          </w:tcPr>
          <w:p w14:paraId="00000066">
            <w:pPr>
              <w:spacing w:after="0" w:before="20" w:line="26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b w:val="1"/>
                <w:bCs w:val="1"/>
                <w:color w:val="ffffff"/>
                <w:rtl w:val="0"/>
                <w:sz w:val="21"/>
                <w:szCs w:val="21"/>
              </w:rPr>
              <w:t xml:space="preserve">截止时的状态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82a4a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6790" w:type="dxa"/>
          </w:tcPr>
          <w:p w14:paraId="00000067">
            <w:pPr>
              <w:spacing w:after="0" w:before="20" w:line="26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b w:val="1"/>
                <w:bCs w:val="1"/>
                <w:color w:val="ffffff"/>
                <w:rtl w:val="0"/>
                <w:sz w:val="21"/>
                <w:szCs w:val="21"/>
              </w:rPr>
              <w:t xml:space="preserve">处理结果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365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已付费且已达标，奖励未领取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679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自动补发该阶梯奖励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365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已付费但未达标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6790" w:type="dxa"/>
            <w:shd w:fill="F5F8FB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对应奖励失效，不补发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365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未付费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679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不记录活动任务进度，不发奖励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365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奖励已经领取或补发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6790" w:type="dxa"/>
            <w:shd w:fill="F5F8FB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不重复发放</w:t>
            </w:r>
          </w:p>
        </w:tc>
      </w:tr>
    </w:tbl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0"/>
          <w:szCs w:val="20"/>
          <w:b w:val="0"/>
        </w:rPr>
        <w:t xml:space="preserve">说明：是否“已付费”和是否“已达标”的跨截止判定，由策划与研发补齐第 4 节规则；自动补发不能改变未达标奖励失效的原则。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</w:pPr>
      <w:r>
        <w:rPr>
          <w:rFonts w:ascii="Helvetica Neue" w:cs="Helvetica Neue" w:eastAsia="Microsoft YaHei" w:hAnsi="Helvetica Neue"/>
          <w:color w:val="082a4a"/>
          <w:rtl w:val="0"/>
        </w:rPr>
        <w:t xml:space="preserve">2 开放配置与任务计数规则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 xml:space="preserve">请直接填写空白或写明“不采用”。表内不预设 7 天、0.99 美元或任何正式金币数。</w:t>
      </w:r>
    </w:p>
    <w:tbl>
      <w:tblPr>
        <w:tblStyle w:val="Table5"/>
        <w:tblW w:w="10440" w:type="dxa"/>
        <w:jc w:val="center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00"/>
      </w:tblPr>
      <w:tblGrid>
        <w:gridCol w:w="2400"/>
        <w:gridCol w:w="8040"/>
      </w:tblGrid>
      <w:tr>
        <w:trPr>
          <w:cantSplit w:val="1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82a4a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400" w:type="dxa"/>
          </w:tcPr>
          <w:p w14:paraId="00000066">
            <w:pPr>
              <w:spacing w:after="0" w:before="20" w:line="26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b w:val="1"/>
                <w:bCs w:val="1"/>
                <w:color w:val="ffffff"/>
                <w:rtl w:val="0"/>
                <w:sz w:val="21"/>
                <w:szCs w:val="21"/>
              </w:rPr>
              <w:t xml:space="preserve">配置项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82a4a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8040" w:type="dxa"/>
          </w:tcPr>
          <w:p w14:paraId="00000067">
            <w:pPr>
              <w:spacing w:after="0" w:before="20" w:line="26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b w:val="1"/>
                <w:bCs w:val="1"/>
                <w:color w:val="ffffff"/>
                <w:rtl w:val="0"/>
                <w:sz w:val="21"/>
                <w:szCs w:val="21"/>
              </w:rPr>
              <w:t xml:space="preserve">策划填写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4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活动名称与期次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804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中文名：__________    本期期次：__________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4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开放条件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8040" w:type="dxa"/>
            <w:shd w:fill="F5F8FB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开放关卡：______    其他条件：________________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4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统一活动时间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804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开始：________________  结束：________________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4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时区与参与限制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8040" w:type="dxa"/>
            <w:shd w:fill="F5F8FB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时区：________  晚进入是否另设门槛：____________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4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价格与商品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804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售价及币种：________  商品标识：________________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4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复开与跨期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8040" w:type="dxa"/>
            <w:shd w:fill="F5F8FB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复开排期：________  进度及任务重置方式：________</w:t>
            </w:r>
          </w:p>
        </w:tc>
      </w:tr>
    </w:tbl>
    <w:p w14:paraId="0000003E">
      <w:pPr>
        <w:pStyle w:val="Heading3"/>
        <w:spacing w:after="90" w:line="280" w:lineRule="auto"/>
        <w:rPr/>
      </w:pPr>
      <w:r>
        <w:rPr>
          <w:rtl w:val="0"/>
          <w:rFonts w:eastAsia="Microsoft YaHei"/>
        </w:rPr>
        <w:t xml:space="preserve">A1  付费后开始计数已确认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 xml:space="preserve">购买确认后首段从 0 开始统计有效通关，付费前的胜利不追溯。请补充支付确认时点，以及支付前开局、支付后胜利是否计入。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1"/>
          <w:szCs w:val="21"/>
          <w:b w:val="0"/>
        </w:rPr>
        <w:t xml:space="preserve">策划补充支付确认与跨支付时点关卡的判定：__________________</w:t>
      </w:r>
    </w:p>
    <w:p w14:paraId="0000003E">
      <w:pPr>
        <w:pStyle w:val="Heading3"/>
        <w:spacing w:after="90" w:line="280" w:lineRule="auto"/>
        <w:rPr/>
      </w:pPr>
      <w:r>
        <w:rPr>
          <w:rtl w:val="0"/>
          <w:rFonts w:eastAsia="Microsoft YaHei"/>
        </w:rPr>
        <w:t xml:space="preserve">A2 逐段独立完成已确认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 xml:space="preserve">每段单独完成目标关数，进入下一段时从 0 重新计数，不共享前段通关进度。例如目标为 2、3、5 关，依次完成 2 关、再 3 关、再 5 关，任务目标合计 10 关。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1"/>
          <w:szCs w:val="21"/>
          <w:b w:val="0"/>
        </w:rPr>
        <w:t xml:space="preserve">策划填写正式目标与奖励表，并提供对应通关示例：____________</w:t>
      </w:r>
    </w:p>
    <w:p w14:paraId="0000003E">
      <w:pPr>
        <w:pStyle w:val="Heading3"/>
        <w:spacing w:after="90" w:line="280" w:lineRule="auto"/>
        <w:rPr/>
      </w:pPr>
      <w:r>
        <w:rPr>
          <w:rtl w:val="0"/>
          <w:rFonts w:eastAsia="Microsoft YaHei"/>
        </w:rPr>
        <w:t xml:space="preserve">A3  哪些关卡计入任务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 xml:space="preserve">请说明主线新关、重复关、特殊关和复活后胜利是否计入；没有新主线关可玩的玩家如何参加。失败、退出和重复结算的处理也需明确。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1"/>
          <w:szCs w:val="21"/>
          <w:b w:val="0"/>
        </w:rPr>
        <w:t xml:space="preserve">有效关卡与计数单位：______________________________________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0"/>
          <w:szCs w:val="20"/>
          <w:b w:val="0"/>
        </w:rPr>
        <w:t xml:space="preserve">请给出从购买确认、逐段闯关到领奖的完整示例；阶段切换、有效关卡和跨期处理仍需填写。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</w:pPr>
      <w:r>
        <w:rPr>
          <w:rFonts w:ascii="Helvetica Neue" w:cs="Helvetica Neue" w:eastAsia="Microsoft YaHei" w:hAnsi="Helvetica Neue"/>
          <w:color w:val="082a4a"/>
          <w:rtl w:val="0"/>
        </w:rPr>
        <w:t xml:space="preserve">3 正式阶梯奖励表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 xml:space="preserve">请填写正式配置。预留 10 行可增减，阶段数量不预设为 10 档。</w:t>
      </w:r>
    </w:p>
    <w:tbl>
      <w:tblPr>
        <w:tblStyle w:val="Table5"/>
        <w:tblW w:w="10440" w:type="dxa"/>
        <w:jc w:val="center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00"/>
      </w:tblPr>
      <w:tblGrid>
        <w:gridCol w:w="1000"/>
        <w:gridCol w:w="2150"/>
        <w:gridCol w:w="2150"/>
        <w:gridCol w:w="5140"/>
      </w:tblGrid>
      <w:tr>
        <w:trPr>
          <w:cantSplit w:val="1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82a4a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1000" w:type="dxa"/>
          </w:tcPr>
          <w:p w14:paraId="00000066">
            <w:pPr>
              <w:spacing w:after="0" w:before="20" w:line="26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b w:val="1"/>
                <w:bCs w:val="1"/>
                <w:color w:val="ffffff"/>
                <w:rtl w:val="0"/>
                <w:sz w:val="21"/>
                <w:szCs w:val="21"/>
              </w:rPr>
              <w:t xml:space="preserve">阶段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82a4a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</w:tcPr>
          <w:p w14:paraId="00000067">
            <w:pPr>
              <w:spacing w:after="0" w:before="20" w:line="26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b w:val="1"/>
                <w:bCs w:val="1"/>
                <w:color w:val="ffffff"/>
                <w:rtl w:val="0"/>
                <w:sz w:val="21"/>
                <w:szCs w:val="21"/>
              </w:rPr>
              <w:t xml:space="preserve">本段目标关数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82a4a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</w:tcPr>
          <w:p w14:paraId="00000068">
            <w:pPr>
              <w:spacing w:after="0" w:before="20" w:line="26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b w:val="1"/>
                <w:bCs w:val="1"/>
                <w:color w:val="ffffff"/>
                <w:rtl w:val="0"/>
                <w:sz w:val="21"/>
                <w:szCs w:val="21"/>
              </w:rPr>
              <w:t xml:space="preserve">金币奖励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82a4a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140" w:type="dxa"/>
          </w:tcPr>
          <w:p w14:paraId="00000069">
            <w:pPr>
              <w:spacing w:after="0" w:before="20" w:line="26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b w:val="1"/>
                <w:bCs w:val="1"/>
                <w:color w:val="ffffff"/>
                <w:rtl w:val="0"/>
                <w:sz w:val="21"/>
                <w:szCs w:val="21"/>
              </w:rPr>
              <w:t xml:space="preserve">备注或展示文案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10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1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FFFFF"/>
          </w:tcPr>
          <w:p w14:paraId="0000006C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140" w:type="dxa"/>
            <w:shd w:fill="FFFFFF"/>
          </w:tcPr>
          <w:p w14:paraId="0000006D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/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10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2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5F8FB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5F8FB"/>
          </w:tcPr>
          <w:p w14:paraId="0000006C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140" w:type="dxa"/>
            <w:shd w:fill="F5F8FB"/>
          </w:tcPr>
          <w:p w14:paraId="0000006D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/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10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3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FFFFF"/>
          </w:tcPr>
          <w:p w14:paraId="0000006C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140" w:type="dxa"/>
            <w:shd w:fill="FFFFFF"/>
          </w:tcPr>
          <w:p w14:paraId="0000006D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/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10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4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5F8FB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5F8FB"/>
          </w:tcPr>
          <w:p w14:paraId="0000006C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140" w:type="dxa"/>
            <w:shd w:fill="F5F8FB"/>
          </w:tcPr>
          <w:p w14:paraId="0000006D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/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10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5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FFFFF"/>
          </w:tcPr>
          <w:p w14:paraId="0000006C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140" w:type="dxa"/>
            <w:shd w:fill="FFFFFF"/>
          </w:tcPr>
          <w:p w14:paraId="0000006D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/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10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6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5F8FB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5F8FB"/>
          </w:tcPr>
          <w:p w14:paraId="0000006C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140" w:type="dxa"/>
            <w:shd w:fill="F5F8FB"/>
          </w:tcPr>
          <w:p w14:paraId="0000006D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/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10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7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FFFFF"/>
          </w:tcPr>
          <w:p w14:paraId="0000006C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140" w:type="dxa"/>
            <w:shd w:fill="FFFFFF"/>
          </w:tcPr>
          <w:p w14:paraId="0000006D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/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10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8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5F8FB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5F8FB"/>
          </w:tcPr>
          <w:p w14:paraId="0000006C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140" w:type="dxa"/>
            <w:shd w:fill="F5F8FB"/>
          </w:tcPr>
          <w:p w14:paraId="0000006D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/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10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9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FFFFF"/>
          </w:tcPr>
          <w:p w14:paraId="0000006C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140" w:type="dxa"/>
            <w:shd w:fill="FFFFFF"/>
          </w:tcPr>
          <w:p w14:paraId="0000006D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/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100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10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5F8FB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2150" w:type="dxa"/>
            <w:shd w:fill="F5F8FB"/>
          </w:tcPr>
          <w:p w14:paraId="0000006C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待填写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140" w:type="dxa"/>
            <w:shd w:fill="F5F8FB"/>
          </w:tcPr>
          <w:p w14:paraId="0000006D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left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/>
            </w:r>
          </w:p>
        </w:tc>
      </w:tr>
    </w:tbl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 xml:space="preserve">正式阶段数：______    总金币：______    各段目标关数合计：______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0"/>
          <w:szCs w:val="20"/>
          <w:b w:val="0"/>
        </w:rPr>
        <w:t xml:space="preserve">各档填写本段新增所需关数；任务量为各段目标之和，金币总额为各档奖励之和。</w:t>
      </w:r>
    </w:p>
    <w:p w14:paraId="0000003E">
      <w:pPr>
        <w:pStyle w:val="Heading3"/>
        <w:spacing w:after="90" w:line="280" w:lineRule="auto"/>
        <w:rPr/>
      </w:pPr>
      <w:r>
        <w:rPr>
          <w:rtl w:val="0"/>
          <w:rFonts w:eastAsia="Microsoft YaHei"/>
        </w:rPr>
        <w:t xml:space="preserve">B1 达标后怎样领取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1"/>
          <w:szCs w:val="21"/>
          <w:b w:val="0"/>
        </w:rPr>
        <w:t xml:space="preserve">领取方式（逐档手动／自动／一键）、多档顺序及反馈：</w:t>
      </w:r>
      <w:r>
        <w:rPr>
          <w:rFonts w:ascii="Helvetica Neue" w:cs="Helvetica Neue" w:eastAsia="Microsoft YaHei" w:hAnsi="Helvetica Neue"/>
          <w:color w:val="233447"/>
          <w:rtl w:val="0"/>
          <w:sz w:val="21"/>
          <w:szCs w:val="21"/>
          <w:b w:val="0"/>
        </w:rPr>
        <w:br/>
        <w:t xml:space="preserve">________________________________________________________</w:t>
      </w:r>
    </w:p>
    <w:p w14:paraId="0000003E">
      <w:pPr>
        <w:pStyle w:val="Heading3"/>
        <w:spacing w:after="90" w:line="280" w:lineRule="auto"/>
        <w:rPr/>
      </w:pPr>
      <w:r>
        <w:rPr>
          <w:rtl w:val="0"/>
          <w:rFonts w:eastAsia="Microsoft YaHei"/>
        </w:rPr>
        <w:t xml:space="preserve">B2 阶段推进与等待领取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1"/>
          <w:szCs w:val="21"/>
          <w:b w:val="0"/>
        </w:rPr>
        <w:t xml:space="preserve">前段达标即进入下一段，还是领取后进入？等待领取期间通关如何处理？</w:t>
      </w:r>
      <w:r>
        <w:rPr>
          <w:rFonts w:ascii="Helvetica Neue" w:cs="Helvetica Neue" w:eastAsia="Microsoft YaHei" w:hAnsi="Helvetica Neue"/>
          <w:color w:val="233447"/>
          <w:rtl w:val="0"/>
          <w:sz w:val="21"/>
          <w:szCs w:val="21"/>
          <w:b w:val="0"/>
        </w:rPr>
        <w:br/>
        <w:t xml:space="preserve">________________________________________________________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0"/>
          <w:szCs w:val="20"/>
          <w:b w:val="0"/>
        </w:rPr>
        <w:t xml:space="preserve">宣传最高金币数须与正式奖励表一致；新增额外奖励需另行明确规则。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</w:pPr>
      <w:r>
        <w:rPr>
          <w:rFonts w:ascii="Helvetica Neue" w:cs="Helvetica Neue" w:eastAsia="Microsoft YaHei" w:hAnsi="Helvetica Neue"/>
          <w:color w:val="082a4a"/>
          <w:rtl w:val="0"/>
        </w:rPr>
        <w:t xml:space="preserve">4 界面与边界规则待填写</w:t>
      </w:r>
    </w:p>
    <w:p w14:paraId="0000003E">
      <w:pPr>
        <w:pStyle w:val="Heading3"/>
        <w:spacing w:after="90" w:line="280" w:lineRule="auto"/>
        <w:rPr/>
      </w:pPr>
      <w:r>
        <w:rPr>
          <w:rtl w:val="0"/>
          <w:rFonts w:eastAsia="Microsoft YaHei"/>
        </w:rPr>
        <w:t xml:space="preserve">C1  入口与自动弹窗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 xml:space="preserve">确定首页入口位置、首次展示时机、弹出频率、弹窗优先级，以及关闭后如何再次进入。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1"/>
          <w:szCs w:val="21"/>
          <w:b w:val="0"/>
        </w:rPr>
        <w:t xml:space="preserve">策划填写：________________________________________________</w:t>
      </w:r>
    </w:p>
    <w:p w14:paraId="0000003E">
      <w:pPr>
        <w:pStyle w:val="Heading3"/>
        <w:spacing w:after="90" w:line="280" w:lineRule="auto"/>
        <w:rPr/>
      </w:pPr>
      <w:r>
        <w:rPr>
          <w:rtl w:val="0"/>
          <w:rFonts w:eastAsia="Microsoft YaHei"/>
        </w:rPr>
        <w:t xml:space="preserve">C2  活动各状态的表现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 xml:space="preserve">补齐未购买、支付处理中、已购买进行中、可领取、已领取、全部完成和活动结束时的按钮、锁图标、进度条与红点。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1"/>
          <w:szCs w:val="21"/>
          <w:b w:val="0"/>
        </w:rPr>
        <w:t xml:space="preserve">策划填写或附状态稿：______________________________________</w:t>
      </w:r>
    </w:p>
    <w:p w14:paraId="0000003E">
      <w:pPr>
        <w:pStyle w:val="Heading3"/>
        <w:spacing w:after="90" w:line="280" w:lineRule="auto"/>
        <w:rPr/>
      </w:pPr>
      <w:r>
        <w:rPr>
          <w:rtl w:val="0"/>
          <w:rFonts w:eastAsia="Microsoft YaHei"/>
        </w:rPr>
        <w:t xml:space="preserve">C3  临近截止与跨截止支付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 xml:space="preserve">是否提前停止售卖；截止前下单但之后付款，以及付款成功但通知晚到，分别如何处理资格、订单和提示。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1"/>
          <w:szCs w:val="21"/>
          <w:b w:val="0"/>
        </w:rPr>
        <w:t xml:space="preserve">售卖截止及异常订单处理：__________________________________</w:t>
      </w:r>
    </w:p>
    <w:p w14:paraId="0000003E">
      <w:pPr>
        <w:pStyle w:val="Heading3"/>
        <w:spacing w:after="90" w:line="280" w:lineRule="auto"/>
        <w:rPr/>
      </w:pPr>
      <w:r>
        <w:rPr>
          <w:rtl w:val="0"/>
          <w:rFonts w:eastAsia="Microsoft YaHei"/>
        </w:rPr>
        <w:t xml:space="preserve">C4  关卡与截止时间相交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 xml:space="preserve">截止前开局、截止后胜利是否计入；断线后补报的胜利如何认定。请给出明确判定时点和示例。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1"/>
          <w:szCs w:val="21"/>
          <w:b w:val="0"/>
        </w:rPr>
        <w:t xml:space="preserve">判定时点及示例：__________________________________________</w:t>
      </w:r>
    </w:p>
    <w:p w14:paraId="0000003E">
      <w:pPr>
        <w:pStyle w:val="Heading3"/>
        <w:spacing w:after="90" w:line="280" w:lineRule="auto"/>
        <w:rPr/>
      </w:pPr>
      <w:r>
        <w:rPr>
          <w:rtl w:val="0"/>
          <w:rFonts w:eastAsia="Microsoft YaHei"/>
        </w:rPr>
        <w:t xml:space="preserve">C5  到期补发怎样告知玩家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 xml:space="preserve">补发范围已确认。需补充到账方式、提示入口、离线玩家何时看到补发，以及失败后的恢复方式；由策划与研发共同确定。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1"/>
          <w:szCs w:val="21"/>
          <w:b w:val="0"/>
        </w:rPr>
        <w:t xml:space="preserve">到账及提示方式：__________________________________________</w:t>
      </w:r>
    </w:p>
    <w:p w14:paraId="0000003E">
      <w:pPr>
        <w:pStyle w:val="Heading3"/>
        <w:spacing w:after="90" w:line="280" w:lineRule="auto"/>
        <w:rPr/>
      </w:pPr>
      <w:r>
        <w:rPr>
          <w:rtl w:val="0"/>
          <w:rFonts w:eastAsia="Microsoft YaHei"/>
        </w:rPr>
        <w:t xml:space="preserve">C6  规则说明与宣传文案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 xml:space="preserve">提供正式名称、购买按钮、规则说明、截止提示和最高金币文案；是否保留折扣标记及其计算依据。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1"/>
          <w:szCs w:val="21"/>
          <w:b w:val="0"/>
        </w:rPr>
        <w:t xml:space="preserve">正式文案或文案表：________________________________________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0"/>
          <w:szCs w:val="20"/>
          <w:b w:val="0"/>
        </w:rPr>
        <w:t xml:space="preserve">研发联调要求：订单确认后恢复对应期次权益；领取与补发共用防重记录；重复点击、断线重试、重新登录或换设备均不得重复发奖或丢失已确认权益。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</w:pPr>
      <w:r>
        <w:rPr>
          <w:rFonts w:ascii="Helvetica Neue" w:cs="Helvetica Neue" w:eastAsia="Microsoft YaHei" w:hAnsi="Helvetica Neue"/>
          <w:color w:val="082a4a"/>
          <w:rtl w:val="0"/>
        </w:rPr>
        <w:t xml:space="preserve">5 参考奖励表与交付核对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2"/>
          <w:szCs w:val="22"/>
          <w:b w:val="0"/>
        </w:rPr>
        <w:t xml:space="preserve">以下仅供数值讨论，不作为正式配置。价格、倒计时和宣传文字均按策划方案调整。</w:t>
      </w:r>
    </w:p>
    <w:tbl>
      <w:tblPr>
        <w:tblStyle w:val="Table5"/>
        <w:tblW w:w="10440" w:type="dxa"/>
        <w:jc w:val="center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00"/>
      </w:tblPr>
      <w:tblGrid>
        <w:gridCol w:w="5220"/>
        <w:gridCol w:w="5220"/>
      </w:tblGrid>
      <w:tr>
        <w:trPr>
          <w:cantSplit w:val="1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82a4a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</w:tcPr>
          <w:p w14:paraId="00000066">
            <w:pPr>
              <w:spacing w:after="0" w:before="20" w:line="26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b w:val="1"/>
                <w:bCs w:val="1"/>
                <w:color w:val="ffffff"/>
                <w:rtl w:val="0"/>
                <w:sz w:val="21"/>
                <w:szCs w:val="21"/>
              </w:rPr>
              <w:t xml:space="preserve">参考每段所需关数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82a4a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</w:tcPr>
          <w:p w14:paraId="00000067">
            <w:pPr>
              <w:spacing w:after="0" w:before="20" w:line="26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b w:val="1"/>
                <w:bCs w:val="1"/>
                <w:color w:val="ffffff"/>
                <w:rtl w:val="0"/>
                <w:sz w:val="21"/>
                <w:szCs w:val="21"/>
              </w:rPr>
              <w:t xml:space="preserve">参考金币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1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100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2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  <w:shd w:fill="F5F8FB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150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3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200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5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  <w:shd w:fill="F5F8FB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250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10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300 *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15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  <w:shd w:fill="F5F8FB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400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20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500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30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  <w:shd w:fill="F5F8FB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700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40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1000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50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  <w:shd w:fill="F5F8FB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1400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5F0F8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</w:tcPr>
          <w:p w14:paraId="0000006A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合计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  <w:tcW w:w="5220" w:type="dxa"/>
            <w:shd w:fill="FFFFFF"/>
          </w:tcPr>
          <w:p w14:paraId="0000006B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  <w:jc w:val="center"/>
            </w:pPr>
            <w:r>
              <w:rPr>
                <w:rFonts w:ascii="Helvetica Neue" w:cs="Helvetica Neue" w:eastAsia="Microsoft YaHei" w:hAnsi="Helvetica Neue"/>
                <w:color w:val="233447"/>
                <w:rtl w:val="0"/>
                <w:sz w:val="21"/>
                <w:szCs w:val="21"/>
              </w:rPr>
              <w:t xml:space="preserve">5000 *</w:t>
            </w:r>
          </w:p>
        </w:tc>
      </w:tr>
    </w:tbl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0"/>
          <w:szCs w:val="20"/>
          <w:b w:val="0"/>
        </w:rPr>
        <w:t xml:space="preserve">* 10 关奖励按原草案中的 300 金币暂列，该位置在效果图中未完整显示，仍需核对。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0"/>
          <w:szCs w:val="20"/>
          <w:b w:val="0"/>
        </w:rPr>
        <w:t xml:space="preserve">若沿用表中数值，逐段任务目标合计 176 关，总奖励为 5000 金币；等待领取期间的通关是否有效见 B2，正式数值仍待策划填写。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0"/>
          <w:szCs w:val="20"/>
          <w:b w:val="0"/>
        </w:rPr>
        <w:t xml:space="preserve">90% OFF 表示减免 90%，即一折；是否采用及折扣基准由策划确认。</w:t>
      </w:r>
    </w:p>
    <w:p w14:paraId="0000003E">
      <w:pPr>
        <w:pStyle w:val="Heading3"/>
        <w:spacing w:after="90" w:line="280" w:lineRule="auto"/>
        <w:rPr/>
      </w:pPr>
      <w:r>
        <w:rPr>
          <w:rtl w:val="0"/>
          <w:rFonts w:eastAsia="Microsoft YaHei"/>
        </w:rPr>
        <w:t xml:space="preserve">交付前请核对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0"/>
          <w:szCs w:val="20"/>
          <w:b w:val="0"/>
        </w:rPr>
        <w:t xml:space="preserve">请返回填写后的第 2 至 4 节、正式奖励表及状态稿，核对时间、限购、计数、金币总额和补发范围。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0"/>
          <w:szCs w:val="20"/>
          <w:b w:val="0"/>
        </w:rPr>
        <w:t xml:space="preserve">验收覆盖重复购买、未付费领奖、恰好及多档达标、截止结算、防重、跨截止订单和关卡。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20"/>
          <w:szCs w:val="20"/>
          <w:b w:val="0"/>
        </w:rPr>
        <w:t xml:space="preserve">首充转化、已付费玩家购买率、通关完成情况的统计口径与目标值，由策划补充。</w:t>
      </w:r>
    </w:p>
    <w:p w14:paraId="00000027">
      <w:pPr>
        <w:spacing w:after="110" w:line="300" w:lineRule="auto"/>
        <w:jc w:val="left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Microsoft YaHei" w:hAnsi="Helvetica Neue"/>
          <w:color w:val="233447"/>
          <w:rtl w:val="0"/>
          <w:sz w:val="18"/>
          <w:szCs w:val="18"/>
          <w:b w:val="0"/>
        </w:rPr>
        <w:t xml:space="preserve">参考资料：效果图 1.png、2、3.png 及本次已确认的活动规则。</w:t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5840" w:w="12240" w:orient="portrait"/>
      <w:pgMar w:bottom="893" w:top="1008" w:left="1008" w:right="1008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6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b7085"/>
        <w:sz w:val="20"/>
        <w:szCs w:val="20"/>
        <w:u w:val="none"/>
        <w:shd w:fill="auto" w:val="clear"/>
        <w:vertAlign w:val="baseline"/>
      </w:rPr>
    </w:pPr>
    <w: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b7085"/>
        <w:sz w:val="16"/>
        <w:szCs w:val="16"/>
        <w:u w:val="none"/>
        <w:shd w:fill="auto" w:val="clear"/>
        <w:vertAlign w:val="baseline"/>
        <w:rtl w:val="0"/>
      </w:rPr>
      <w:t xml:space="preserve">Coin Madness  活动策划确认单</w:t>
    </w:r>
    <w:r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9">
    <w:pPr>
      <w:rPr/>
    </w:pPr>
    <w:r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14:paraId="000000F5">
      <w:pPr>
        <w:spacing w:after="0" w:line="270" w:lineRule="auto"/>
        <w:jc w:val="both"/>
        <w:rPr/>
      </w:pPr>
      <w:r>
        <w:rPr>
          <w:rStyle w:val="FootnoteReference"/>
          <w:vertAlign w:val="superscript"/>
        </w:rPr>
        <w:footnoteRef/>
      </w:r>
      <w:r>
        <w:rPr>
          <w:color w:val="233447"/>
          <w:rtl w:val="0"/>
        </w:rPr>
        <w:t xml:space="preserve"> 参考图中的 10 关奖励未完整显示，300 金币来自原草案，需核对。</w:t>
      </w:r>
      <w:r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6">
    <w:pPr>
      <w:rPr/>
    </w:pPr>
    <w:r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8">
    <w:pPr>
      <w:rPr/>
    </w:pP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33447"/>
        <w:lang w:val="en"/>
      </w:rPr>
    </w:rPrDefault>
    <w:pPrDefault>
      <w:pPr>
        <w:spacing w:after="11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2f6b9a" w:space="2" w:sz="0" w:val="none"/>
        <w:left w:color="2f6b9a" w:space="2" w:sz="0" w:val="none"/>
        <w:bottom w:color="2f6b9a" w:space="2" w:sz="0" w:val="none"/>
        <w:right w:color="2f6b9a" w:space="2" w:sz="0" w:val="none"/>
      </w:pBdr>
      <w:spacing w:after="130" w:line="285" w:lineRule="auto"/>
    </w:pPr>
    <w:rPr>
      <w:b w:val="1"/>
      <w:bCs w:val="1"/>
      <w:color w:val="082a4a"/>
      <w:sz w:val="27"/>
      <w:szCs w:val="27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smallCaps w:val="1"/>
      <w:color w:val="082a4a"/>
      <w:sz w:val="19"/>
      <w:szCs w:val="19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Helvetica Neue" w:cs="Helvetica Neue" w:eastAsia="Helvetica Neue" w:hAnsi="Helvetica Neue"/>
      <w:b w:val="1"/>
      <w:bCs w:val="1"/>
      <w:color w:val="5b7085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082a4a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082a4a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082a4a"/>
    </w:rPr>
  </w:style>
  <w:style w:type="paragraph" w:styleId="Title">
    <w:name w:val="Title"/>
    <w:basedOn w:val="Normal"/>
    <w:next w:val="Normal"/>
    <w:pPr>
      <w:spacing w:after="150" w:lineRule="auto"/>
    </w:pPr>
    <w:rPr>
      <w:b w:val="1"/>
      <w:bCs w:val="1"/>
      <w:color w:val="082a4a"/>
      <w:sz w:val="44"/>
      <w:szCs w:val="44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082a4a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'1.0' encoding='UTF-8' standalone='yes'?>
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example.com/system-design/contracts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8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HelveticaNeueLight-regular.ttf"/><Relationship Id="rId6" Type="http://schemas.openxmlformats.org/officeDocument/2006/relationships/font" Target="fonts/HelveticaNeueLight-bold.ttf"/><Relationship Id="rId7" Type="http://schemas.openxmlformats.org/officeDocument/2006/relationships/font" Target="fonts/HelveticaNeueLight-italic.ttf"/><Relationship Id="rId8" Type="http://schemas.openxmlformats.org/officeDocument/2006/relationships/font" Target="fonts/HelveticaNeueL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